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666A1" w14:textId="72B7D238" w:rsidR="00827E78" w:rsidRPr="00EA22CE" w:rsidRDefault="00653A7D" w:rsidP="00D0561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690DD" wp14:editId="7A4CA365">
                <wp:simplePos x="0" y="0"/>
                <wp:positionH relativeFrom="column">
                  <wp:posOffset>4928605</wp:posOffset>
                </wp:positionH>
                <wp:positionV relativeFrom="page">
                  <wp:posOffset>162029</wp:posOffset>
                </wp:positionV>
                <wp:extent cx="278765" cy="378460"/>
                <wp:effectExtent l="0" t="0" r="18415" b="1333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" cy="3784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198B2" w14:textId="62A3FF6E" w:rsidR="00653A7D" w:rsidRPr="00F84025" w:rsidRDefault="00653A7D" w:rsidP="00653A7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Do Not Remove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5690D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88.1pt;margin-top:12.75pt;width:21.95pt;height:29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" fillcolor="yellow" strokeweight=".5pt">
                <v:textbox style="mso-fit-shape-to-text:t">
                  <w:txbxContent>
                    <w:p w14:paraId="1DF198B2" w14:textId="62A3FF6E" w:rsidR="00653A7D" w:rsidRPr="00F84025" w:rsidRDefault="00653A7D" w:rsidP="00653A7D">
                      <w:pPr>
                        <w:jc w:val="center"/>
                        <w:rPr>
                          <w:noProof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Do Not Remove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05617" w:rsidRPr="00EA22CE">
        <w:rPr>
          <w:b/>
          <w:sz w:val="36"/>
          <w:szCs w:val="36"/>
        </w:rPr>
        <w:t xml:space="preserve">Quick Start </w:t>
      </w:r>
      <w:r w:rsidR="00EA22CE">
        <w:rPr>
          <w:b/>
          <w:sz w:val="36"/>
          <w:szCs w:val="36"/>
        </w:rPr>
        <w:t xml:space="preserve">MMRC </w:t>
      </w:r>
      <w:r w:rsidR="00D05617" w:rsidRPr="00EA22CE">
        <w:rPr>
          <w:b/>
          <w:sz w:val="36"/>
          <w:szCs w:val="36"/>
        </w:rPr>
        <w:t xml:space="preserve">Agilent 8453 UV-vis </w:t>
      </w:r>
      <w:proofErr w:type="spellStart"/>
      <w:r w:rsidR="00D05617" w:rsidRPr="00EA22CE">
        <w:rPr>
          <w:b/>
          <w:sz w:val="36"/>
          <w:szCs w:val="36"/>
        </w:rPr>
        <w:t>Spectr</w:t>
      </w:r>
      <w:proofErr w:type="spellEnd"/>
      <w:r w:rsidRPr="00653A7D">
        <w:rPr>
          <w:noProof/>
        </w:rPr>
        <w:t xml:space="preserve"> </w:t>
      </w:r>
      <w:proofErr w:type="spellStart"/>
      <w:r w:rsidR="00D05617" w:rsidRPr="00EA22CE">
        <w:rPr>
          <w:b/>
          <w:sz w:val="36"/>
          <w:szCs w:val="36"/>
        </w:rPr>
        <w:t>ometer</w:t>
      </w:r>
      <w:proofErr w:type="spellEnd"/>
    </w:p>
    <w:p w14:paraId="0D68819E" w14:textId="2FF3FAF5" w:rsidR="004538BB" w:rsidRDefault="004538BB" w:rsidP="00D05617">
      <w:pPr>
        <w:jc w:val="center"/>
        <w:rPr>
          <w:sz w:val="28"/>
          <w:szCs w:val="28"/>
        </w:rPr>
      </w:pPr>
      <w:r>
        <w:rPr>
          <w:sz w:val="28"/>
          <w:szCs w:val="28"/>
        </w:rPr>
        <w:t>Revised 10/13/2018</w:t>
      </w:r>
    </w:p>
    <w:p w14:paraId="4DBBF48C" w14:textId="77777777" w:rsidR="00D05617" w:rsidRPr="00D05617" w:rsidRDefault="00D05617" w:rsidP="00D05617">
      <w:pPr>
        <w:jc w:val="center"/>
        <w:rPr>
          <w:sz w:val="28"/>
          <w:szCs w:val="28"/>
        </w:rPr>
      </w:pPr>
    </w:p>
    <w:p w14:paraId="0F7E7CE5" w14:textId="3DE08A23" w:rsidR="00B45851" w:rsidRDefault="00B45851" w:rsidP="00C64946">
      <w:pPr>
        <w:pStyle w:val="ListParagraph"/>
        <w:numPr>
          <w:ilvl w:val="0"/>
          <w:numId w:val="1"/>
        </w:numPr>
        <w:spacing w:after="120"/>
        <w:contextualSpacing w:val="0"/>
      </w:pPr>
      <w:r>
        <w:t>Fill out the logbook before you start.</w:t>
      </w:r>
    </w:p>
    <w:p w14:paraId="3EA17254" w14:textId="611C232E" w:rsidR="00D05617" w:rsidRDefault="00D05617" w:rsidP="00C64946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Turn on the computer and </w:t>
      </w:r>
      <w:r w:rsidR="00B45D81">
        <w:t xml:space="preserve">video </w:t>
      </w:r>
      <w:r>
        <w:t>monitor</w:t>
      </w:r>
    </w:p>
    <w:p w14:paraId="52ABE7B1" w14:textId="77777777" w:rsidR="00D05617" w:rsidRDefault="00D05617" w:rsidP="00C64946">
      <w:pPr>
        <w:pStyle w:val="ListParagraph"/>
        <w:numPr>
          <w:ilvl w:val="0"/>
          <w:numId w:val="1"/>
        </w:numPr>
        <w:spacing w:after="120"/>
        <w:contextualSpacing w:val="0"/>
      </w:pPr>
      <w:r>
        <w:t>Login to Agilent 8453 account with password bi019</w:t>
      </w:r>
    </w:p>
    <w:p w14:paraId="27E44FB6" w14:textId="77777777" w:rsidR="00D05617" w:rsidRDefault="00D05617" w:rsidP="00C64946">
      <w:pPr>
        <w:pStyle w:val="ListParagraph"/>
        <w:numPr>
          <w:ilvl w:val="0"/>
          <w:numId w:val="1"/>
        </w:numPr>
        <w:spacing w:after="120"/>
        <w:contextualSpacing w:val="0"/>
      </w:pPr>
      <w:r>
        <w:t>Turn on the spectrometer</w:t>
      </w:r>
    </w:p>
    <w:p w14:paraId="7CD2CDDC" w14:textId="12BA9862" w:rsidR="00D05617" w:rsidRDefault="00D05617" w:rsidP="00C64946">
      <w:pPr>
        <w:pStyle w:val="ListParagraph"/>
        <w:numPr>
          <w:ilvl w:val="0"/>
          <w:numId w:val="1"/>
        </w:numPr>
        <w:spacing w:after="120"/>
        <w:contextualSpacing w:val="0"/>
      </w:pPr>
      <w:r>
        <w:t>Wait until the spectrometer make</w:t>
      </w:r>
      <w:r w:rsidR="004538BB">
        <w:t>s</w:t>
      </w:r>
      <w:r>
        <w:t xml:space="preserve"> clicking noises.</w:t>
      </w:r>
    </w:p>
    <w:p w14:paraId="3E305B78" w14:textId="77777777" w:rsidR="00D05617" w:rsidRDefault="00D05617" w:rsidP="00C64946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Start the </w:t>
      </w:r>
      <w:proofErr w:type="spellStart"/>
      <w:r>
        <w:t>ChemStation</w:t>
      </w:r>
      <w:proofErr w:type="spellEnd"/>
      <w:r>
        <w:t xml:space="preserve"> software. (If you did not wait long enough the software will not locate the spectrometer and you will get a power failure error.   Quit the software and restart it).</w:t>
      </w:r>
    </w:p>
    <w:p w14:paraId="29673214" w14:textId="77777777" w:rsidR="004538BB" w:rsidRDefault="004538BB" w:rsidP="00C64946">
      <w:pPr>
        <w:pStyle w:val="ListParagraph"/>
        <w:numPr>
          <w:ilvl w:val="0"/>
          <w:numId w:val="1"/>
        </w:numPr>
        <w:spacing w:after="120"/>
        <w:contextualSpacing w:val="0"/>
      </w:pPr>
      <w:r>
        <w:t>T</w:t>
      </w:r>
      <w:r w:rsidR="00D05617">
        <w:t xml:space="preserve">he visible lamp </w:t>
      </w:r>
      <w:r>
        <w:t>should be on by default (</w:t>
      </w:r>
      <w:r w:rsidR="00D05617">
        <w:t xml:space="preserve">clicking the visible lamp icon </w:t>
      </w:r>
      <w:r>
        <w:t xml:space="preserve">will turn it on) </w:t>
      </w:r>
    </w:p>
    <w:p w14:paraId="6031EFD2" w14:textId="036C6889" w:rsidR="00D05617" w:rsidRDefault="004538BB" w:rsidP="00C64946">
      <w:pPr>
        <w:pStyle w:val="ListParagraph"/>
        <w:numPr>
          <w:ilvl w:val="0"/>
          <w:numId w:val="1"/>
        </w:numPr>
        <w:spacing w:after="120"/>
        <w:contextualSpacing w:val="0"/>
      </w:pPr>
      <w:r>
        <w:t>If you only</w:t>
      </w:r>
      <w:r w:rsidR="00D05617">
        <w:t xml:space="preserve"> wan</w:t>
      </w:r>
      <w:r>
        <w:t>t to scan the visible region (350 – 1000 nm) skip step 8.</w:t>
      </w:r>
    </w:p>
    <w:p w14:paraId="0A2F2526" w14:textId="5D29C870" w:rsidR="004538BB" w:rsidRDefault="004538BB" w:rsidP="00C64946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If you want to scan in the UV (200 -350nm) you need to </w:t>
      </w:r>
      <w:r w:rsidR="00C64946">
        <w:t>turn</w:t>
      </w:r>
      <w:r>
        <w:t xml:space="preserve"> on the </w:t>
      </w:r>
      <w:r w:rsidR="00D05617">
        <w:t xml:space="preserve">UV lamp </w:t>
      </w:r>
      <w:r>
        <w:t>by clicking on the icon of the lamp.</w:t>
      </w:r>
    </w:p>
    <w:p w14:paraId="4646BA68" w14:textId="1FCD4727" w:rsidR="00D05617" w:rsidRDefault="004538BB" w:rsidP="00C64946">
      <w:pPr>
        <w:pStyle w:val="ListParagraph"/>
        <w:numPr>
          <w:ilvl w:val="0"/>
          <w:numId w:val="1"/>
        </w:numPr>
        <w:spacing w:after="120"/>
        <w:contextualSpacing w:val="0"/>
      </w:pPr>
      <w:r>
        <w:t>Use</w:t>
      </w:r>
      <w:r w:rsidR="00D05617">
        <w:t xml:space="preserve"> both lamps if you want </w:t>
      </w:r>
      <w:r>
        <w:t xml:space="preserve">to scan from </w:t>
      </w:r>
      <w:r w:rsidR="00D05617">
        <w:t>200 to 900 nm.</w:t>
      </w:r>
    </w:p>
    <w:p w14:paraId="226A08AA" w14:textId="26FB4A87" w:rsidR="00D05617" w:rsidRDefault="00D05617" w:rsidP="00C64946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Wait 15 minutes for </w:t>
      </w:r>
      <w:r w:rsidR="00C64946">
        <w:t xml:space="preserve">the </w:t>
      </w:r>
      <w:r>
        <w:t>lamps to stabilize for best performance.</w:t>
      </w:r>
    </w:p>
    <w:p w14:paraId="212F72D2" w14:textId="1166EEB8" w:rsidR="004538BB" w:rsidRDefault="004538BB" w:rsidP="00C64946">
      <w:pPr>
        <w:pStyle w:val="ListParagraph"/>
        <w:numPr>
          <w:ilvl w:val="0"/>
          <w:numId w:val="1"/>
        </w:numPr>
        <w:spacing w:after="120"/>
        <w:contextualSpacing w:val="0"/>
      </w:pPr>
      <w:r>
        <w:t>If you are using the UV region you need a quartz</w:t>
      </w:r>
      <w:r w:rsidR="00C64946">
        <w:t xml:space="preserve"> cuvette</w:t>
      </w:r>
      <w:r>
        <w:t>.</w:t>
      </w:r>
    </w:p>
    <w:p w14:paraId="1B5B9912" w14:textId="240C0E20" w:rsidR="004538BB" w:rsidRDefault="004538BB" w:rsidP="00C64946">
      <w:pPr>
        <w:pStyle w:val="ListParagraph"/>
        <w:numPr>
          <w:ilvl w:val="0"/>
          <w:numId w:val="1"/>
        </w:numPr>
        <w:spacing w:after="120"/>
        <w:contextualSpacing w:val="0"/>
      </w:pPr>
      <w:r>
        <w:t>With nothing in the light path collect a blank spectrum.</w:t>
      </w:r>
    </w:p>
    <w:p w14:paraId="58DB3647" w14:textId="7D869925" w:rsidR="00D05617" w:rsidRDefault="00D05617" w:rsidP="00C64946">
      <w:pPr>
        <w:pStyle w:val="ListParagraph"/>
        <w:numPr>
          <w:ilvl w:val="0"/>
          <w:numId w:val="1"/>
        </w:numPr>
        <w:spacing w:after="120"/>
        <w:contextualSpacing w:val="0"/>
      </w:pPr>
      <w:r>
        <w:t>Place your cuvette with solvent in the spectrometer and collect a spectrum</w:t>
      </w:r>
      <w:r w:rsidR="004538BB">
        <w:t xml:space="preserve">. </w:t>
      </w:r>
    </w:p>
    <w:p w14:paraId="54FC5EB5" w14:textId="08623189" w:rsidR="00FE611E" w:rsidRDefault="00FE611E" w:rsidP="00FE611E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Note if you are in the UV region the cuvette must be a UV cuvette for the far UV (i.e. 200- 300) it needs to be a quartz cuvette. </w:t>
      </w:r>
    </w:p>
    <w:p w14:paraId="05E2E5E4" w14:textId="68519A78" w:rsidR="00FE611E" w:rsidRDefault="004538BB" w:rsidP="00C64946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Make sure that the Absorbance is &lt; 0.2 everywhere you will use.  If </w:t>
      </w:r>
      <w:r w:rsidR="00B45D81">
        <w:t>not,</w:t>
      </w:r>
      <w:r>
        <w:t xml:space="preserve"> you </w:t>
      </w:r>
      <w:r w:rsidR="00FE611E">
        <w:t>have</w:t>
      </w:r>
      <w:r>
        <w:t xml:space="preserve"> either </w:t>
      </w:r>
      <w:r w:rsidR="00FE611E">
        <w:t>a dirty</w:t>
      </w:r>
      <w:r>
        <w:t xml:space="preserve"> </w:t>
      </w:r>
      <w:r w:rsidR="00B45D81">
        <w:t>cuvette</w:t>
      </w:r>
      <w:r w:rsidR="00FE611E">
        <w:t>, the wrong type of cuvette,</w:t>
      </w:r>
      <w:r>
        <w:t xml:space="preserve"> or </w:t>
      </w:r>
      <w:r w:rsidR="00FE611E">
        <w:t>a solvent that absorbs</w:t>
      </w:r>
      <w:r>
        <w:t>.</w:t>
      </w:r>
      <w:r w:rsidR="00FE611E">
        <w:t xml:space="preserve">  If the absorbance is in the UV you cannot see the problem with you eye but if it is in the visible region then you should see color in the cuvette.</w:t>
      </w:r>
      <w:r>
        <w:t xml:space="preserve">  </w:t>
      </w:r>
    </w:p>
    <w:p w14:paraId="5BDB45FD" w14:textId="6C4AC555" w:rsidR="004538BB" w:rsidRDefault="004538BB" w:rsidP="00C64946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Now </w:t>
      </w:r>
      <w:r w:rsidR="00C64946">
        <w:t xml:space="preserve">collect a bank spectrum </w:t>
      </w:r>
      <w:r>
        <w:t xml:space="preserve">with the solvent in the </w:t>
      </w:r>
      <w:r w:rsidR="00B45D81">
        <w:t>spectrometer</w:t>
      </w:r>
      <w:r>
        <w:t>.</w:t>
      </w:r>
    </w:p>
    <w:p w14:paraId="6CBE176F" w14:textId="3D51B935" w:rsidR="00D05617" w:rsidRDefault="00D05617" w:rsidP="00C64946">
      <w:pPr>
        <w:pStyle w:val="ListParagraph"/>
        <w:numPr>
          <w:ilvl w:val="0"/>
          <w:numId w:val="1"/>
        </w:numPr>
        <w:spacing w:after="120"/>
        <w:contextualSpacing w:val="0"/>
      </w:pPr>
      <w:r>
        <w:t>Place you</w:t>
      </w:r>
      <w:r w:rsidR="004538BB">
        <w:t>r</w:t>
      </w:r>
      <w:r>
        <w:t xml:space="preserve"> cuvette with sample in the spectrometer and collect a spectrum.</w:t>
      </w:r>
    </w:p>
    <w:p w14:paraId="033AFF59" w14:textId="04F2BE3F" w:rsidR="00C64946" w:rsidRDefault="00C64946" w:rsidP="00C64946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The software </w:t>
      </w:r>
      <w:r w:rsidR="00FE611E">
        <w:t>will</w:t>
      </w:r>
      <w:r>
        <w:t xml:space="preserve"> show the spectrum to you.</w:t>
      </w:r>
    </w:p>
    <w:p w14:paraId="5395EEC4" w14:textId="783DE25E" w:rsidR="00D05617" w:rsidRDefault="004538BB" w:rsidP="00C64946">
      <w:pPr>
        <w:pStyle w:val="ListParagraph"/>
        <w:numPr>
          <w:ilvl w:val="0"/>
          <w:numId w:val="1"/>
        </w:numPr>
        <w:spacing w:after="120"/>
        <w:contextualSpacing w:val="0"/>
      </w:pPr>
      <w:r>
        <w:t>I</w:t>
      </w:r>
      <w:r w:rsidR="00D05617">
        <w:t xml:space="preserve">f the sample and blank </w:t>
      </w:r>
      <w:r w:rsidR="00FE611E">
        <w:t>need to be</w:t>
      </w:r>
      <w:r w:rsidR="00D05617">
        <w:t xml:space="preserve"> run in different cuvette</w:t>
      </w:r>
      <w:r>
        <w:t>s</w:t>
      </w:r>
      <w:r w:rsidR="00D05617">
        <w:t xml:space="preserve"> they must be matched or the difference must be correct</w:t>
      </w:r>
      <w:r w:rsidR="00C64946">
        <w:t xml:space="preserve"> by taking Absorbance spectra of each and subtracti</w:t>
      </w:r>
      <w:r w:rsidR="00FE611E">
        <w:t>ng</w:t>
      </w:r>
      <w:r w:rsidR="00C64946">
        <w:t xml:space="preserve"> the solvent spectrum from the sample</w:t>
      </w:r>
      <w:r w:rsidR="00D05617">
        <w:t>.</w:t>
      </w:r>
    </w:p>
    <w:p w14:paraId="39F5AF58" w14:textId="77777777" w:rsidR="00D05617" w:rsidRDefault="00D05617" w:rsidP="00C64946">
      <w:pPr>
        <w:pStyle w:val="ListParagraph"/>
        <w:numPr>
          <w:ilvl w:val="0"/>
          <w:numId w:val="1"/>
        </w:numPr>
        <w:spacing w:after="120"/>
        <w:contextualSpacing w:val="0"/>
      </w:pPr>
      <w:r>
        <w:t>When done turn off the spectrometer</w:t>
      </w:r>
    </w:p>
    <w:p w14:paraId="21548A27" w14:textId="77777777" w:rsidR="00D05617" w:rsidRDefault="00D05617" w:rsidP="00C64946">
      <w:pPr>
        <w:pStyle w:val="ListParagraph"/>
        <w:numPr>
          <w:ilvl w:val="0"/>
          <w:numId w:val="1"/>
        </w:numPr>
        <w:spacing w:after="120"/>
        <w:contextualSpacing w:val="0"/>
      </w:pPr>
      <w:r>
        <w:t>Shut down the computer and turn off the monitor.</w:t>
      </w:r>
    </w:p>
    <w:p w14:paraId="4344C313" w14:textId="77777777" w:rsidR="00D05617" w:rsidRDefault="00D05617" w:rsidP="00C64946">
      <w:pPr>
        <w:pStyle w:val="ListParagraph"/>
        <w:spacing w:after="120"/>
        <w:contextualSpacing w:val="0"/>
      </w:pPr>
    </w:p>
    <w:sectPr w:rsidR="00D05617" w:rsidSect="0083617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07BD0"/>
    <w:multiLevelType w:val="hybridMultilevel"/>
    <w:tmpl w:val="5D761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17"/>
    <w:rsid w:val="000D3254"/>
    <w:rsid w:val="0038049E"/>
    <w:rsid w:val="004538BB"/>
    <w:rsid w:val="00653A7D"/>
    <w:rsid w:val="009F2965"/>
    <w:rsid w:val="00B45851"/>
    <w:rsid w:val="00B45D81"/>
    <w:rsid w:val="00C64946"/>
    <w:rsid w:val="00D05617"/>
    <w:rsid w:val="00D32A42"/>
    <w:rsid w:val="00EA22CE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B90127"/>
  <w14:defaultImageDpi w14:val="300"/>
  <w15:docId w15:val="{DA2FD19B-469E-1442-ABF1-CE5BE04F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3B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ithspace">
    <w:name w:val="Normal with space"/>
    <w:basedOn w:val="Normal"/>
    <w:rsid w:val="002A23A1"/>
    <w:pPr>
      <w:spacing w:after="240"/>
    </w:pPr>
  </w:style>
  <w:style w:type="paragraph" w:customStyle="1" w:styleId="CVheading2">
    <w:name w:val="CV heading 2"/>
    <w:basedOn w:val="CVNormal"/>
    <w:next w:val="CVNormal"/>
    <w:rsid w:val="004B0975"/>
    <w:pPr>
      <w:spacing w:before="240" w:after="80"/>
    </w:pPr>
    <w:rPr>
      <w:b/>
      <w:color w:val="000080"/>
      <w:sz w:val="24"/>
    </w:rPr>
  </w:style>
  <w:style w:type="paragraph" w:customStyle="1" w:styleId="NSFnormal">
    <w:name w:val="NSF normal"/>
    <w:basedOn w:val="Normal"/>
    <w:rsid w:val="004A19B3"/>
    <w:rPr>
      <w:rFonts w:ascii="Arial" w:hAnsi="Arial"/>
      <w:sz w:val="22"/>
    </w:rPr>
  </w:style>
  <w:style w:type="paragraph" w:customStyle="1" w:styleId="CVNormal">
    <w:name w:val="CV Normal"/>
    <w:basedOn w:val="Normal"/>
    <w:rsid w:val="004B0975"/>
    <w:pPr>
      <w:spacing w:line="240" w:lineRule="exact"/>
    </w:pPr>
    <w:rPr>
      <w:rFonts w:ascii="Arial" w:eastAsia="Times" w:hAnsi="Arial"/>
      <w:sz w:val="22"/>
      <w:szCs w:val="20"/>
    </w:rPr>
  </w:style>
  <w:style w:type="paragraph" w:customStyle="1" w:styleId="CVHeading1">
    <w:name w:val="CV Heading 1"/>
    <w:basedOn w:val="CVNormal"/>
    <w:next w:val="CVNormal"/>
    <w:rsid w:val="004B0975"/>
    <w:pPr>
      <w:spacing w:after="120" w:line="240" w:lineRule="auto"/>
      <w:jc w:val="center"/>
      <w:outlineLvl w:val="0"/>
    </w:pPr>
    <w:rPr>
      <w:b/>
      <w:color w:val="000080"/>
      <w:sz w:val="26"/>
    </w:rPr>
  </w:style>
  <w:style w:type="paragraph" w:customStyle="1" w:styleId="Normaldoublesp">
    <w:name w:val="Normal double sp"/>
    <w:basedOn w:val="Normal"/>
    <w:rsid w:val="00F74DFF"/>
    <w:pPr>
      <w:spacing w:line="480" w:lineRule="auto"/>
    </w:pPr>
  </w:style>
  <w:style w:type="paragraph" w:styleId="ListParagraph">
    <w:name w:val="List Paragraph"/>
    <w:basedOn w:val="Normal"/>
    <w:uiPriority w:val="34"/>
    <w:qFormat/>
    <w:rsid w:val="00D05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Institute of Technology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Brunschwig</dc:creator>
  <cp:keywords/>
  <dc:description/>
  <cp:lastModifiedBy>Bruce Brunschwig</cp:lastModifiedBy>
  <cp:revision>11</cp:revision>
  <cp:lastPrinted>2018-10-26T18:12:00Z</cp:lastPrinted>
  <dcterms:created xsi:type="dcterms:W3CDTF">2013-08-19T19:10:00Z</dcterms:created>
  <dcterms:modified xsi:type="dcterms:W3CDTF">2018-10-26T18:43:00Z</dcterms:modified>
</cp:coreProperties>
</file>